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9" w:rsidRPr="008E37C9" w:rsidRDefault="008E37C9" w:rsidP="008E37C9">
      <w:pPr>
        <w:shd w:val="clear" w:color="auto" w:fill="FFFFFF"/>
        <w:spacing w:before="300" w:after="100" w:afterAutospacing="1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</w:pPr>
      <w:r w:rsidRPr="008E37C9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 xml:space="preserve">Gwarancja jakości i sprawności z </w:t>
      </w:r>
      <w:proofErr w:type="spellStart"/>
      <w:r w:rsidRPr="008E37C9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>Grundfos</w:t>
      </w:r>
      <w:proofErr w:type="spellEnd"/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  <w:proofErr w:type="spellStart"/>
      <w:r w:rsidRPr="008E37C9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pl-PL"/>
        </w:rPr>
        <w:t xml:space="preserve"> Pompy Sp. z o.o. (zwaną dalej </w:t>
      </w:r>
      <w:proofErr w:type="spellStart"/>
      <w:r w:rsidRPr="008E37C9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pl-PL"/>
        </w:rPr>
        <w:t>) udziela Kupującemu gwarancji na sprawne działanie wprowadzanych przez siebie do obrotu towarów na następujących zasadach: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Okres gwarancji na zakupione towary wynosi 24 miesiące od daty zakupu chyba, że ustalenia z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stanowią inaczej. Na zakupione części serwisowe okres gwarancji wynosi 12 miesięcy pod warunkiem ich montażu przez Autoryzowany Serwis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. Termin gwarancji ulega przedłużeniu o okres wykonywania naprawy gwarancyjnej. Ewentualna przedłużona gwarancja nie obejmuje elementów normalnie zużywających się.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Warunkiem realizacji roszczeń gwarancyjnych jest okazanie przez Kupującego karty gwarancyjnej, kompletnie wypełnionej przez Sprzedawcę (bezpośredniego lub pośredniego dystrybutora produktów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) lub faktury zakupu. Ponadto w przypadku pomp typu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NK-E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/NKG warunkiem realizacji świadczeń gwarancyjnych jest okazanie przez Kupującego protokołu uruchomienia pomp sporządzonego przez serwis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. W przypadku przedłużenia gwarancji warunkiem realizacji roszczeń jest okazanie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oferty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lub umowy z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przedłużającej gwarancję.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Ochrona gwarancyjna obejmuje produkty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eksploatowane na terytorium Rzeczypospolitej Polskiej.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W okresie gwarancyjnym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usunie usterki, których przyczyny wynikają bezpośrednio z wad materiałowych lub produkcyjnych sprzedanego towaru.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Usterki objęte gwarancją należy niezwłocznie po ich stwierdzeniu zgłosić autoryzowanemu Serwisowi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, wskazując ich rodzaj i dane teleadresowe Kupującego.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ustosunkuje się do żądania zawartego w zgłoszeniu gwarancyjnym niezwłocznie, Lecz nie dłużej niż w terminie 14 dni od dnia otrzymania kompletnego pisemnego zgłoszenia wraz z urządzeniem. W przypadku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urządzeń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wielkogabarytowych termin do ustosunkowania się do żądań Kupującego wskazany w zdaniu poprzednim rozpocznie swój bieg od dnia następującego po dniu, w którym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, na skutek zawiadomienia Kupującego, faktycznie przystąpi do badania usterki. W takiej sytuacji Kupujący zobowiązany będzie do umożliwienia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wykonania wszelkich niezbędnych czynności zmierzających do ustalenia przyczyn awarii i ewentualnie ich usunięcia.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Usterki uznane przez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(Autoryzowany Serwis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) za objęte obowiązkiem naprawy gwarancyjnej zostaną usunięte poprzez wymianę wadliwych części lub wymianę </w:t>
      </w: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lastRenderedPageBreak/>
        <w:t xml:space="preserve">Kompletnego wyrobu na wolny od wad, w terminie do 14 dni od daty zgodnego z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pkt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6 niniejszej gwarancji poinformowania Kupującego przez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(autoryzowany serwis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) o uznaniu i sposobie usunięcia usterki. W szczególnych przypadkach, termin usunięcia usterki może ulec odpowiedniemu przedłużeniu ze względu na charakter uszkodzenia lub wady ewentualnie typ produktu.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lub jego Autoryzowany Serwis realizują świadczenia gwarancyjne wyłącznie w dni robocze. W wypadku konieczności wykonania świadczeń gwarancyjnych w dni ustawowo wolne od pracy, koszty dojazdu i robocizny ponosi Kupujący.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Obowiązek świadczeń gwarancyjnych powstanie pod warunkiem, że wyrób został dobrany, zamontowany i eksploatowany zgodnie z wytycznymi określonymi w katalogach i instrukcjach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, oraz zgodnie z ogólnymi zasadami eksploatacji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urządzeń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elektromechanicznych.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Gwarancja na towar wygasa, jeżeli naprawy lub inne ingerencje w dane urządzenie nie były przeprowadzone bezpośrednio przez pracowników serwisu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Grundfos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 xml:space="preserve"> lub jego Autoryzowany Serwis. Powyższe zastrzeżenie nie dotyczy czynności eksploatacyjnych określonych w instrukcji obsługi poszczególnych </w:t>
      </w:r>
      <w:proofErr w:type="spellStart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urządzeń</w:t>
      </w:r>
      <w:proofErr w:type="spellEnd"/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Uprawnienia Kupującego wynikające z niniejszej gwarancji nie wyłączają, nie ograniczają ani nie zawieszają uprawnień Kupującego wynikających z niezgodności towaru z umową.</w:t>
      </w:r>
    </w:p>
    <w:p w:rsidR="008E37C9" w:rsidRPr="008E37C9" w:rsidRDefault="008E37C9" w:rsidP="008E37C9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20"/>
          <w:szCs w:val="20"/>
          <w:lang w:eastAsia="pl-PL"/>
        </w:rPr>
      </w:pPr>
    </w:p>
    <w:p w:rsidR="008E37C9" w:rsidRPr="008E37C9" w:rsidRDefault="008E37C9" w:rsidP="008E37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727272"/>
          <w:sz w:val="20"/>
          <w:szCs w:val="20"/>
          <w:lang w:eastAsia="pl-PL"/>
        </w:rPr>
      </w:pPr>
      <w:r w:rsidRPr="008E37C9">
        <w:rPr>
          <w:rFonts w:ascii="Arial" w:eastAsia="Times New Roman" w:hAnsi="Arial" w:cs="Arial"/>
          <w:color w:val="727272"/>
          <w:sz w:val="20"/>
          <w:szCs w:val="20"/>
          <w:lang w:eastAsia="pl-PL"/>
        </w:rPr>
        <w:t>Wszelkie porozumienia i oświadczenia Stron wymagają formy pisemnej pod rygorem Nieważności.</w:t>
      </w:r>
    </w:p>
    <w:p w:rsidR="00167613" w:rsidRDefault="00167613"/>
    <w:sectPr w:rsidR="00167613" w:rsidSect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5"/>
    <w:multiLevelType w:val="multilevel"/>
    <w:tmpl w:val="5F583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36BCA"/>
    <w:multiLevelType w:val="multilevel"/>
    <w:tmpl w:val="EFF05E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853C0"/>
    <w:multiLevelType w:val="multilevel"/>
    <w:tmpl w:val="7AE06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11837"/>
    <w:multiLevelType w:val="multilevel"/>
    <w:tmpl w:val="487AC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8B0"/>
    <w:multiLevelType w:val="multilevel"/>
    <w:tmpl w:val="A156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D5995"/>
    <w:multiLevelType w:val="multilevel"/>
    <w:tmpl w:val="02667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36F7B"/>
    <w:multiLevelType w:val="multilevel"/>
    <w:tmpl w:val="FF5AC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25DF9"/>
    <w:multiLevelType w:val="multilevel"/>
    <w:tmpl w:val="DF3ED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B08C5"/>
    <w:multiLevelType w:val="multilevel"/>
    <w:tmpl w:val="5C4AD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67851"/>
    <w:multiLevelType w:val="multilevel"/>
    <w:tmpl w:val="33026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644CB"/>
    <w:multiLevelType w:val="multilevel"/>
    <w:tmpl w:val="E8ACBC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D212C"/>
    <w:multiLevelType w:val="multilevel"/>
    <w:tmpl w:val="BF7A51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7C9"/>
    <w:rsid w:val="00167613"/>
    <w:rsid w:val="008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13"/>
  </w:style>
  <w:style w:type="paragraph" w:styleId="Nagwek2">
    <w:name w:val="heading 2"/>
    <w:basedOn w:val="Normalny"/>
    <w:link w:val="Nagwek2Znak"/>
    <w:uiPriority w:val="9"/>
    <w:qFormat/>
    <w:rsid w:val="008E3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37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2015-03-23T09:27:00Z</dcterms:created>
  <dcterms:modified xsi:type="dcterms:W3CDTF">2015-03-23T09:27:00Z</dcterms:modified>
</cp:coreProperties>
</file>